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5" w:rsidRDefault="00B07E85">
      <w:pPr>
        <w:pBdr>
          <w:bottom w:val="double" w:sz="12" w:space="3" w:color="00000A"/>
        </w:pBdr>
        <w:ind w:left="-142"/>
        <w:rPr>
          <w:sz w:val="2"/>
        </w:rPr>
      </w:pP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Бюллетень № 1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 xml:space="preserve">для голосования на </w:t>
      </w:r>
      <w:r w:rsidR="000238FD">
        <w:rPr>
          <w:b/>
          <w:sz w:val="26"/>
        </w:rPr>
        <w:t>Внеочередн</w:t>
      </w:r>
      <w:r>
        <w:rPr>
          <w:b/>
          <w:sz w:val="26"/>
        </w:rPr>
        <w:t>ом общем собрании акционеров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726010">
        <w:rPr>
          <w:b/>
          <w:sz w:val="26"/>
        </w:rPr>
        <w:t>18</w:t>
      </w:r>
      <w:r>
        <w:rPr>
          <w:b/>
          <w:sz w:val="26"/>
        </w:rPr>
        <w:t xml:space="preserve">» </w:t>
      </w:r>
      <w:r w:rsidR="00726010">
        <w:rPr>
          <w:b/>
          <w:sz w:val="26"/>
        </w:rPr>
        <w:t>июл</w:t>
      </w:r>
      <w:r>
        <w:rPr>
          <w:b/>
          <w:sz w:val="26"/>
        </w:rPr>
        <w:t>я 201</w:t>
      </w:r>
      <w:r w:rsidR="00B723F0">
        <w:rPr>
          <w:b/>
          <w:sz w:val="26"/>
        </w:rPr>
        <w:t>9</w:t>
      </w:r>
      <w:r>
        <w:rPr>
          <w:b/>
          <w:sz w:val="26"/>
        </w:rPr>
        <w:t xml:space="preserve"> года 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2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3701"/>
        <w:gridCol w:w="3962"/>
      </w:tblGrid>
      <w:tr w:rsidR="00B07E85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b/>
                <w:i/>
                <w:sz w:val="24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(Номер лицевого счета)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(Количество голосов)</w:t>
            </w:r>
          </w:p>
        </w:tc>
      </w:tr>
      <w:tr w:rsidR="00B07E85">
        <w:trPr>
          <w:cantSplit/>
          <w:trHeight w:val="482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(Фамилия, Имя, Отчество акционера / Полное наименование акционера)</w:t>
            </w:r>
          </w:p>
        </w:tc>
      </w:tr>
    </w:tbl>
    <w:p w:rsidR="00B07E85" w:rsidRDefault="00B07E85">
      <w:pPr>
        <w:jc w:val="both"/>
        <w:rPr>
          <w:b/>
          <w:i/>
          <w:sz w:val="6"/>
        </w:rPr>
      </w:pPr>
    </w:p>
    <w:p w:rsidR="00B07E85" w:rsidRDefault="00B07E85">
      <w:pPr>
        <w:tabs>
          <w:tab w:val="left" w:leader="dot" w:pos="284"/>
        </w:tabs>
        <w:ind w:left="284" w:right="-1" w:hanging="284"/>
        <w:rPr>
          <w:b/>
          <w:sz w:val="20"/>
        </w:rPr>
      </w:pPr>
    </w:p>
    <w:tbl>
      <w:tblPr>
        <w:tblW w:w="1105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4"/>
        <w:gridCol w:w="164"/>
        <w:gridCol w:w="1985"/>
        <w:gridCol w:w="163"/>
        <w:gridCol w:w="164"/>
        <w:gridCol w:w="1354"/>
        <w:gridCol w:w="164"/>
        <w:gridCol w:w="269"/>
        <w:gridCol w:w="980"/>
      </w:tblGrid>
      <w:tr w:rsidR="00B07E85">
        <w:trPr>
          <w:cantSplit/>
          <w:trHeight w:val="562"/>
        </w:trPr>
        <w:tc>
          <w:tcPr>
            <w:tcW w:w="11055" w:type="dxa"/>
            <w:gridSpan w:val="9"/>
            <w:shd w:val="clear" w:color="auto" w:fill="auto"/>
            <w:vAlign w:val="center"/>
          </w:tcPr>
          <w:p w:rsidR="00B07E85" w:rsidRPr="00726010" w:rsidRDefault="00E56D72" w:rsidP="00726010">
            <w:pPr>
              <w:spacing w:after="120" w:line="240" w:lineRule="exact"/>
              <w:rPr>
                <w:b/>
                <w:sz w:val="24"/>
                <w:szCs w:val="24"/>
              </w:rPr>
            </w:pPr>
            <w:r w:rsidRPr="00726010">
              <w:rPr>
                <w:b/>
                <w:sz w:val="24"/>
                <w:szCs w:val="24"/>
                <w:u w:val="single"/>
              </w:rPr>
              <w:t>Вопрос № 1.</w:t>
            </w:r>
            <w:r w:rsidR="00726010" w:rsidRPr="00726010">
              <w:rPr>
                <w:b/>
                <w:sz w:val="24"/>
                <w:szCs w:val="24"/>
                <w:u w:val="single"/>
              </w:rPr>
              <w:t>Внесение изменений  в Положение о Совете директоров</w:t>
            </w:r>
            <w:r w:rsidRPr="00726010">
              <w:rPr>
                <w:b/>
                <w:bCs w:val="0"/>
                <w:sz w:val="24"/>
                <w:szCs w:val="24"/>
                <w:u w:val="single"/>
              </w:rPr>
              <w:t xml:space="preserve"> Общества.</w:t>
            </w:r>
          </w:p>
        </w:tc>
      </w:tr>
      <w:tr w:rsidR="00B07E85">
        <w:trPr>
          <w:cantSplit/>
          <w:trHeight w:val="619"/>
        </w:trPr>
        <w:tc>
          <w:tcPr>
            <w:tcW w:w="5812" w:type="dxa"/>
            <w:vMerge w:val="restart"/>
            <w:shd w:val="clear" w:color="auto" w:fill="auto"/>
          </w:tcPr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E5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Формулировка решения:</w:t>
            </w:r>
          </w:p>
          <w:p w:rsidR="00B07E85" w:rsidRPr="00897C67" w:rsidRDefault="00897C67" w:rsidP="00897C67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1.</w:t>
            </w:r>
            <w:r w:rsidR="00726010" w:rsidRPr="00897C67">
              <w:rPr>
                <w:b/>
                <w:bCs w:val="0"/>
                <w:sz w:val="24"/>
                <w:szCs w:val="24"/>
              </w:rPr>
              <w:t>Внести</w:t>
            </w:r>
            <w:r w:rsidRPr="00897C67">
              <w:rPr>
                <w:b/>
                <w:bCs w:val="0"/>
                <w:sz w:val="24"/>
                <w:szCs w:val="24"/>
              </w:rPr>
              <w:t xml:space="preserve"> изменения в Положение о Совете директоров Общества.</w:t>
            </w:r>
          </w:p>
          <w:p w:rsidR="00897C67" w:rsidRDefault="00897C67" w:rsidP="00897C67">
            <w:pPr>
              <w:pStyle w:val="ab"/>
              <w:rPr>
                <w:b/>
                <w:i/>
              </w:rPr>
            </w:pPr>
            <w:r>
              <w:rPr>
                <w:b/>
                <w:i/>
              </w:rPr>
              <w:t>См. в информации (материалах) к Внеочередному общему собранию акционеров.</w:t>
            </w:r>
          </w:p>
          <w:p w:rsidR="00897C67" w:rsidRPr="00897C67" w:rsidRDefault="00897C67" w:rsidP="00897C67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jc w:val="center"/>
              <w:rPr>
                <w:sz w:val="12"/>
              </w:rPr>
            </w:pPr>
          </w:p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Вариант голосования</w:t>
            </w: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/>
        </w:tc>
        <w:tc>
          <w:tcPr>
            <w:tcW w:w="164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/>
        </w:tc>
        <w:tc>
          <w:tcPr>
            <w:tcW w:w="1354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Поле для проставления числа голосов, отданных за выбранный вариант голосования</w:t>
            </w:r>
          </w:p>
        </w:tc>
        <w:tc>
          <w:tcPr>
            <w:tcW w:w="164" w:type="dxa"/>
            <w:shd w:val="clear" w:color="auto" w:fill="auto"/>
            <w:vAlign w:val="center"/>
          </w:tcPr>
          <w:p w:rsidR="00B07E85" w:rsidRDefault="00B07E85"/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Особые отметки</w:t>
            </w:r>
          </w:p>
          <w:p w:rsidR="00B07E85" w:rsidRDefault="00E56D72">
            <w:pPr>
              <w:jc w:val="center"/>
            </w:pPr>
            <w:r>
              <w:rPr>
                <w:sz w:val="12"/>
              </w:rPr>
              <w:t xml:space="preserve">(отметить любым из знаков: </w:t>
            </w:r>
            <w:r>
              <w:rPr>
                <w:rFonts w:ascii="Arial" w:hAnsi="Arial"/>
                <w:b/>
                <w:sz w:val="12"/>
                <w:lang w:val="en-US"/>
              </w:rPr>
              <w:t>v</w:t>
            </w:r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sz w:val="12"/>
              </w:rPr>
              <w:t>х</w:t>
            </w:r>
            <w:proofErr w:type="gramStart"/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i/>
                <w:sz w:val="12"/>
              </w:rPr>
              <w:t>/</w:t>
            </w:r>
            <w:r>
              <w:rPr>
                <w:sz w:val="12"/>
              </w:rPr>
              <w:t>)</w:t>
            </w:r>
            <w:proofErr w:type="gramEnd"/>
          </w:p>
        </w:tc>
      </w:tr>
      <w:tr w:rsidR="00B07E85">
        <w:trPr>
          <w:cantSplit/>
          <w:trHeight w:val="7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2931" w:type="dxa"/>
            <w:gridSpan w:val="5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5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"За"</w:t>
            </w:r>
          </w:p>
        </w:tc>
        <w:tc>
          <w:tcPr>
            <w:tcW w:w="1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980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в соответствии с указаниями приобретателя акций</w:t>
            </w:r>
          </w:p>
        </w:tc>
      </w:tr>
      <w:tr w:rsidR="00B07E85">
        <w:trPr>
          <w:cantSplit/>
          <w:trHeight w:val="174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980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195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35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66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"Против"</w:t>
            </w:r>
          </w:p>
        </w:tc>
        <w:tc>
          <w:tcPr>
            <w:tcW w:w="1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980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по доверенности, выданной в отношении переданных акций</w:t>
            </w:r>
          </w:p>
        </w:tc>
      </w:tr>
      <w:tr w:rsidR="00B07E85">
        <w:trPr>
          <w:cantSplit/>
          <w:trHeight w:val="18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244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35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41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"Воздержался"</w:t>
            </w:r>
          </w:p>
        </w:tc>
        <w:tc>
          <w:tcPr>
            <w:tcW w:w="1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980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Часть акций передана после даты </w:t>
            </w:r>
          </w:p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>закрытия реестра</w:t>
            </w:r>
          </w:p>
        </w:tc>
      </w:tr>
      <w:tr w:rsidR="00B07E85">
        <w:trPr>
          <w:cantSplit/>
          <w:trHeight w:val="160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980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76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b/>
                <w:i/>
                <w:sz w:val="6"/>
              </w:rPr>
            </w:pPr>
          </w:p>
        </w:tc>
        <w:tc>
          <w:tcPr>
            <w:tcW w:w="163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2767" w:type="dxa"/>
            <w:gridSpan w:val="4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75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rFonts w:ascii="C39HrP48DlTt" w:hAnsi="C39HrP48DlTt"/>
                <w:bCs w:val="0"/>
                <w:iCs/>
                <w:sz w:val="48"/>
              </w:rPr>
            </w:pPr>
          </w:p>
        </w:tc>
        <w:tc>
          <w:tcPr>
            <w:tcW w:w="163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2767" w:type="dxa"/>
            <w:gridSpan w:val="4"/>
            <w:vMerge w:val="restart"/>
            <w:shd w:val="clear" w:color="auto" w:fill="auto"/>
          </w:tcPr>
          <w:p w:rsidR="00B07E85" w:rsidRDefault="00E56D72">
            <w:pPr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напротив выбранного (оставленного) варианта голосования</w:t>
            </w:r>
          </w:p>
        </w:tc>
      </w:tr>
      <w:tr w:rsidR="00B07E85">
        <w:trPr>
          <w:cantSplit/>
          <w:trHeight w:val="15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07E85" w:rsidRDefault="00E56D72">
            <w:pPr>
              <w:pStyle w:val="ab"/>
              <w:ind w:left="54"/>
              <w:jc w:val="center"/>
              <w:rPr>
                <w:rFonts w:ascii="C39HrP48DlTt" w:hAnsi="C39HrP48DlTt"/>
                <w:bCs w:val="0"/>
                <w:iCs/>
                <w:sz w:val="4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  <w:tc>
          <w:tcPr>
            <w:tcW w:w="163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2767" w:type="dxa"/>
            <w:gridSpan w:val="4"/>
            <w:vMerge/>
            <w:shd w:val="clear" w:color="auto" w:fill="auto"/>
          </w:tcPr>
          <w:p w:rsidR="00B07E85" w:rsidRDefault="00B07E85">
            <w:pPr>
              <w:rPr>
                <w:i/>
              </w:rPr>
            </w:pPr>
          </w:p>
        </w:tc>
      </w:tr>
    </w:tbl>
    <w:p w:rsidR="00B07E85" w:rsidRDefault="00B07E85">
      <w:pPr>
        <w:tabs>
          <w:tab w:val="left" w:leader="dot" w:pos="284"/>
        </w:tabs>
        <w:ind w:left="284" w:right="-1" w:hanging="284"/>
        <w:rPr>
          <w:b/>
          <w:sz w:val="10"/>
        </w:rPr>
      </w:pPr>
    </w:p>
    <w:p w:rsidR="00B07E85" w:rsidRDefault="00E56D72">
      <w:pPr>
        <w:tabs>
          <w:tab w:val="left" w:leader="dot" w:pos="5245"/>
        </w:tabs>
        <w:rPr>
          <w:i/>
          <w:szCs w:val="16"/>
        </w:rPr>
      </w:pPr>
      <w:r>
        <w:rPr>
          <w:i/>
          <w:szCs w:val="16"/>
        </w:rPr>
        <w:t xml:space="preserve">Бюллетень признается </w:t>
      </w:r>
      <w:r>
        <w:rPr>
          <w:b/>
          <w:i/>
          <w:szCs w:val="16"/>
        </w:rPr>
        <w:t>недействительным</w:t>
      </w:r>
      <w:r>
        <w:rPr>
          <w:i/>
          <w:szCs w:val="16"/>
        </w:rPr>
        <w:t xml:space="preserve"> в следующих случаях: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нет подписи акционера (представителя);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Cs w:val="16"/>
        </w:rPr>
        <w:t>¹</w:t>
      </w:r>
      <w:r>
        <w:rPr>
          <w:i/>
          <w:szCs w:val="16"/>
        </w:rPr>
        <w:t>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невозможно однозначно определить выбранный вариант голосования;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FC37D5" w:rsidTr="00684547">
        <w:trPr>
          <w:trHeight w:val="70"/>
        </w:trPr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37D5" w:rsidRDefault="00FC37D5" w:rsidP="00B109C2">
            <w:pPr>
              <w:rPr>
                <w:i/>
                <w:sz w:val="18"/>
                <w:szCs w:val="18"/>
              </w:rPr>
            </w:pPr>
          </w:p>
        </w:tc>
      </w:tr>
    </w:tbl>
    <w:p w:rsidR="00684547" w:rsidRPr="00684547" w:rsidRDefault="00E56D72" w:rsidP="00684547">
      <w:pPr>
        <w:jc w:val="both"/>
        <w:rPr>
          <w:rFonts w:ascii="Verdana" w:hAnsi="Verdana"/>
          <w:bCs w:val="0"/>
          <w:sz w:val="13"/>
          <w:szCs w:val="13"/>
        </w:rPr>
      </w:pPr>
      <w:proofErr w:type="gramStart"/>
      <w:r w:rsidRPr="00684547">
        <w:rPr>
          <w:b/>
          <w:i/>
          <w:iCs/>
          <w:sz w:val="12"/>
          <w:szCs w:val="12"/>
        </w:rPr>
        <w:t xml:space="preserve">¹ </w:t>
      </w:r>
      <w:r w:rsidRPr="00684547">
        <w:rPr>
          <w:b/>
          <w:i/>
          <w:iCs/>
          <w:sz w:val="13"/>
          <w:szCs w:val="13"/>
        </w:rPr>
        <w:t xml:space="preserve">- Разъяснения по голосованию в случае передачи акций после даты </w:t>
      </w:r>
      <w:r w:rsidR="00B21922" w:rsidRPr="00684547">
        <w:rPr>
          <w:b/>
          <w:i/>
          <w:iCs/>
          <w:sz w:val="13"/>
          <w:szCs w:val="13"/>
        </w:rPr>
        <w:t>определения (фиксации)</w:t>
      </w:r>
      <w:r w:rsidRPr="00684547">
        <w:rPr>
          <w:b/>
          <w:i/>
          <w:iCs/>
          <w:sz w:val="13"/>
          <w:szCs w:val="13"/>
        </w:rPr>
        <w:t xml:space="preserve"> лиц, имеющих право на участие в собрании акционеров:</w:t>
      </w:r>
      <w:r w:rsidR="00684547" w:rsidRPr="00684547">
        <w:rPr>
          <w:sz w:val="13"/>
          <w:szCs w:val="13"/>
        </w:rPr>
        <w:t xml:space="preserve"> ¹</w:t>
      </w:r>
      <w:r w:rsidR="00684547" w:rsidRPr="00684547">
        <w:rPr>
          <w:bCs w:val="0"/>
          <w:sz w:val="13"/>
          <w:szCs w:val="13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</w:t>
      </w:r>
      <w:proofErr w:type="gramEnd"/>
      <w:r w:rsidR="00684547" w:rsidRPr="00684547">
        <w:rPr>
          <w:bCs w:val="0"/>
          <w:sz w:val="13"/>
          <w:szCs w:val="13"/>
        </w:rPr>
        <w:t xml:space="preserve">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 </w:t>
      </w:r>
      <w:proofErr w:type="gramStart"/>
      <w:r w:rsidR="00684547" w:rsidRPr="00684547">
        <w:rPr>
          <w:bCs w:val="0"/>
          <w:sz w:val="13"/>
          <w:szCs w:val="13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="00684547" w:rsidRPr="00684547">
        <w:rPr>
          <w:bCs w:val="0"/>
          <w:sz w:val="13"/>
          <w:szCs w:val="13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 </w:t>
      </w:r>
      <w:proofErr w:type="gramStart"/>
      <w:r w:rsidR="00684547" w:rsidRPr="00684547">
        <w:rPr>
          <w:bCs w:val="0"/>
          <w:sz w:val="13"/>
          <w:szCs w:val="13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</w:t>
      </w:r>
      <w:proofErr w:type="gramEnd"/>
      <w:r w:rsidR="00684547" w:rsidRPr="00684547">
        <w:rPr>
          <w:bCs w:val="0"/>
          <w:sz w:val="13"/>
          <w:szCs w:val="13"/>
        </w:rPr>
        <w:t xml:space="preserve">, </w:t>
      </w:r>
      <w:proofErr w:type="gramStart"/>
      <w:r w:rsidR="00684547" w:rsidRPr="00684547">
        <w:rPr>
          <w:bCs w:val="0"/>
          <w:sz w:val="13"/>
          <w:szCs w:val="13"/>
        </w:rPr>
        <w:t>имеющие</w:t>
      </w:r>
      <w:proofErr w:type="gramEnd"/>
      <w:r w:rsidR="00684547" w:rsidRPr="00684547">
        <w:rPr>
          <w:bCs w:val="0"/>
          <w:sz w:val="13"/>
          <w:szCs w:val="13"/>
        </w:rPr>
        <w:t xml:space="preserve">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sectPr w:rsidR="00684547" w:rsidRPr="006845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74" w:right="709" w:bottom="360" w:left="709" w:header="717" w:footer="0" w:gutter="0"/>
      <w:cols w:space="720"/>
      <w:formProt w:val="0"/>
      <w:titlePg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49" w:rsidRDefault="00F47349">
      <w:r>
        <w:separator/>
      </w:r>
    </w:p>
  </w:endnote>
  <w:endnote w:type="continuationSeparator" w:id="0">
    <w:p w:rsidR="00F47349" w:rsidRDefault="00F4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39HrP48Dl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4E" w:rsidRDefault="00A112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52EA9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52EA9" w:rsidRDefault="00152EA9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  лицом, имеющим право на участие в общем собрании акционеров (представителем)!</w:t>
          </w:r>
        </w:p>
      </w:tc>
    </w:tr>
    <w:tr w:rsidR="00152EA9">
      <w:trPr>
        <w:cantSplit/>
        <w:trHeight w:val="283"/>
      </w:trPr>
      <w:tc>
        <w:tcPr>
          <w:tcW w:w="10632" w:type="dxa"/>
          <w:shd w:val="clear" w:color="auto" w:fill="auto"/>
          <w:vAlign w:val="bottom"/>
        </w:tcPr>
        <w:p w:rsidR="00152EA9" w:rsidRDefault="00152EA9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52EA9" w:rsidRDefault="00152EA9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 (представителя) </w:t>
          </w:r>
        </w:p>
        <w:p w:rsidR="00152EA9" w:rsidRDefault="00152EA9">
          <w:pPr>
            <w:pStyle w:val="ac"/>
            <w:spacing w:line="240" w:lineRule="auto"/>
            <w:ind w:right="-68"/>
            <w:rPr>
              <w:i/>
              <w:sz w:val="16"/>
              <w:szCs w:val="16"/>
              <w:u w:val="double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</w:tc>
    </w:tr>
  </w:tbl>
  <w:p w:rsidR="00152EA9" w:rsidRDefault="00152EA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52EA9" w:rsidTr="00B109C2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52EA9" w:rsidRDefault="00152EA9" w:rsidP="00B109C2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52EA9" w:rsidTr="00B109C2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52EA9" w:rsidRDefault="00152EA9" w:rsidP="00B109C2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52EA9" w:rsidRDefault="00152EA9" w:rsidP="00B109C2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52EA9" w:rsidRDefault="00152EA9" w:rsidP="00B109C2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52EA9" w:rsidRDefault="00152EA9" w:rsidP="00B109C2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52EA9" w:rsidRDefault="00152EA9" w:rsidP="00B109C2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52EA9" w:rsidRDefault="00152EA9">
    <w:pPr>
      <w:pStyle w:val="ab"/>
      <w:jc w:val="right"/>
      <w:rPr>
        <w:lang w:val="en-US"/>
      </w:rPr>
    </w:pPr>
  </w:p>
  <w:p w:rsidR="00152EA9" w:rsidRDefault="00152EA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49" w:rsidRDefault="00F47349">
      <w:r>
        <w:separator/>
      </w:r>
    </w:p>
  </w:footnote>
  <w:footnote w:type="continuationSeparator" w:id="0">
    <w:p w:rsidR="00F47349" w:rsidRDefault="00F4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4E" w:rsidRDefault="00A1124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52EA9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52EA9" w:rsidRDefault="00152EA9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52EA9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52EA9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52EA9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F0487A">
          <w:pPr>
            <w:jc w:val="both"/>
            <w:rPr>
              <w:szCs w:val="16"/>
            </w:rPr>
          </w:pPr>
          <w:r>
            <w:rPr>
              <w:szCs w:val="16"/>
            </w:rPr>
            <w:t>"27"апреля 2019 года</w:t>
          </w:r>
        </w:p>
      </w:tc>
    </w:tr>
    <w:tr w:rsidR="00152EA9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F0487A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52EA9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F0487A">
          <w:pPr>
            <w:jc w:val="both"/>
            <w:rPr>
              <w:szCs w:val="16"/>
            </w:rPr>
          </w:pPr>
          <w:r>
            <w:rPr>
              <w:szCs w:val="16"/>
            </w:rPr>
            <w:t>"21" мая 2019 года,  16.00 часов (время местное)</w:t>
          </w:r>
        </w:p>
      </w:tc>
    </w:tr>
    <w:tr w:rsidR="00152EA9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52EA9" w:rsidRDefault="00152E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52EA9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52EA9" w:rsidRDefault="00152EA9" w:rsidP="00B109C2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52EA9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52EA9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A965B1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</w:t>
          </w:r>
          <w:r w:rsidR="00A965B1">
            <w:rPr>
              <w:szCs w:val="16"/>
            </w:rPr>
            <w:t>а</w:t>
          </w:r>
          <w:r>
            <w:rPr>
              <w:szCs w:val="16"/>
            </w:rPr>
            <w:t xml:space="preserve"> повестки дня и принятия решени</w:t>
          </w:r>
          <w:r w:rsidR="00A965B1">
            <w:rPr>
              <w:szCs w:val="16"/>
            </w:rPr>
            <w:t>й</w:t>
          </w:r>
          <w:r>
            <w:rPr>
              <w:szCs w:val="16"/>
            </w:rPr>
            <w:t xml:space="preserve"> по вопрос</w:t>
          </w:r>
          <w:r w:rsidR="00744B62">
            <w:rPr>
              <w:szCs w:val="16"/>
            </w:rPr>
            <w:t>у</w:t>
          </w:r>
          <w:r>
            <w:rPr>
              <w:szCs w:val="16"/>
            </w:rPr>
            <w:t>, поставленн</w:t>
          </w:r>
          <w:r w:rsidR="00744B62">
            <w:rPr>
              <w:szCs w:val="16"/>
            </w:rPr>
            <w:t>ого</w:t>
          </w:r>
          <w:r>
            <w:rPr>
              <w:szCs w:val="16"/>
            </w:rPr>
            <w:t xml:space="preserve"> на голосование).</w:t>
          </w:r>
        </w:p>
      </w:tc>
    </w:tr>
    <w:tr w:rsidR="00152EA9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744B62">
          <w:pPr>
            <w:jc w:val="both"/>
            <w:rPr>
              <w:szCs w:val="16"/>
            </w:rPr>
          </w:pPr>
          <w:r>
            <w:rPr>
              <w:szCs w:val="16"/>
            </w:rPr>
            <w:t>"2</w:t>
          </w:r>
          <w:r w:rsidR="00744B62">
            <w:rPr>
              <w:szCs w:val="16"/>
            </w:rPr>
            <w:t>5</w:t>
          </w:r>
          <w:r>
            <w:rPr>
              <w:szCs w:val="16"/>
            </w:rPr>
            <w:t>"</w:t>
          </w:r>
          <w:r w:rsidR="00744B62">
            <w:rPr>
              <w:szCs w:val="16"/>
            </w:rPr>
            <w:t>июн</w:t>
          </w:r>
          <w:r>
            <w:rPr>
              <w:szCs w:val="16"/>
            </w:rPr>
            <w:t>я 2019 года</w:t>
          </w:r>
        </w:p>
      </w:tc>
    </w:tr>
    <w:tr w:rsidR="00152EA9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Тихая, 1, </w:t>
          </w:r>
          <w:r w:rsidR="00A1124E">
            <w:rPr>
              <w:szCs w:val="16"/>
            </w:rPr>
            <w:t xml:space="preserve">4 этаж, </w:t>
          </w:r>
          <w:bookmarkStart w:id="0" w:name="_GoBack"/>
          <w:bookmarkEnd w:id="0"/>
          <w:r>
            <w:rPr>
              <w:szCs w:val="16"/>
            </w:rPr>
            <w:t>приемная Генерального директора АО «СКТБ «Катализатор»</w:t>
          </w:r>
        </w:p>
      </w:tc>
    </w:tr>
    <w:tr w:rsidR="00152EA9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744B62" w:rsidP="00744B62">
          <w:pPr>
            <w:jc w:val="both"/>
            <w:rPr>
              <w:szCs w:val="16"/>
            </w:rPr>
          </w:pPr>
          <w:r>
            <w:rPr>
              <w:szCs w:val="16"/>
            </w:rPr>
            <w:t>"18</w:t>
          </w:r>
          <w:r w:rsidR="00152EA9">
            <w:rPr>
              <w:szCs w:val="16"/>
            </w:rPr>
            <w:t>"</w:t>
          </w:r>
          <w:r>
            <w:rPr>
              <w:szCs w:val="16"/>
            </w:rPr>
            <w:t>июл</w:t>
          </w:r>
          <w:r w:rsidR="00152EA9">
            <w:rPr>
              <w:szCs w:val="16"/>
            </w:rPr>
            <w:t>я 2019 года,  16.00 часов (время местное)</w:t>
          </w:r>
        </w:p>
      </w:tc>
    </w:tr>
    <w:tr w:rsidR="00152EA9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52EA9" w:rsidRDefault="00152EA9" w:rsidP="00B109C2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52EA9" w:rsidRDefault="00152E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145"/>
    <w:multiLevelType w:val="multilevel"/>
    <w:tmpl w:val="DA90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67DCE"/>
    <w:multiLevelType w:val="multilevel"/>
    <w:tmpl w:val="293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64E23"/>
    <w:multiLevelType w:val="multilevel"/>
    <w:tmpl w:val="B218C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7974A8"/>
    <w:multiLevelType w:val="multilevel"/>
    <w:tmpl w:val="300A7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7B37"/>
    <w:multiLevelType w:val="hybridMultilevel"/>
    <w:tmpl w:val="B420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D414E"/>
    <w:multiLevelType w:val="multilevel"/>
    <w:tmpl w:val="286C3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42C4892"/>
    <w:multiLevelType w:val="multilevel"/>
    <w:tmpl w:val="B992A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C44"/>
    <w:multiLevelType w:val="multilevel"/>
    <w:tmpl w:val="7B90E43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3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8A4337"/>
    <w:multiLevelType w:val="multilevel"/>
    <w:tmpl w:val="C3A2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2F2C7E"/>
    <w:multiLevelType w:val="multilevel"/>
    <w:tmpl w:val="486C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E85"/>
    <w:rsid w:val="00022487"/>
    <w:rsid w:val="000238FD"/>
    <w:rsid w:val="00027186"/>
    <w:rsid w:val="00057736"/>
    <w:rsid w:val="000B46E4"/>
    <w:rsid w:val="00104EBE"/>
    <w:rsid w:val="00120C85"/>
    <w:rsid w:val="00136C25"/>
    <w:rsid w:val="00141051"/>
    <w:rsid w:val="00152EA9"/>
    <w:rsid w:val="001C00E6"/>
    <w:rsid w:val="001E7D63"/>
    <w:rsid w:val="00215C91"/>
    <w:rsid w:val="002654A9"/>
    <w:rsid w:val="002D5FC6"/>
    <w:rsid w:val="002D5FCF"/>
    <w:rsid w:val="002E1381"/>
    <w:rsid w:val="00326224"/>
    <w:rsid w:val="0034232E"/>
    <w:rsid w:val="00355E59"/>
    <w:rsid w:val="00381354"/>
    <w:rsid w:val="00384441"/>
    <w:rsid w:val="003C1DF9"/>
    <w:rsid w:val="003D505A"/>
    <w:rsid w:val="003E1CFB"/>
    <w:rsid w:val="003E2292"/>
    <w:rsid w:val="003E7445"/>
    <w:rsid w:val="00401BFC"/>
    <w:rsid w:val="00425790"/>
    <w:rsid w:val="004302EB"/>
    <w:rsid w:val="00491AC7"/>
    <w:rsid w:val="004B0D28"/>
    <w:rsid w:val="004C399A"/>
    <w:rsid w:val="004C68C0"/>
    <w:rsid w:val="004F0361"/>
    <w:rsid w:val="005028A4"/>
    <w:rsid w:val="00571AD0"/>
    <w:rsid w:val="005A41F1"/>
    <w:rsid w:val="005C7E4C"/>
    <w:rsid w:val="00615F7B"/>
    <w:rsid w:val="00684547"/>
    <w:rsid w:val="00726010"/>
    <w:rsid w:val="007364B0"/>
    <w:rsid w:val="00744B62"/>
    <w:rsid w:val="00811241"/>
    <w:rsid w:val="00845B5E"/>
    <w:rsid w:val="00897C67"/>
    <w:rsid w:val="008A684C"/>
    <w:rsid w:val="00945B65"/>
    <w:rsid w:val="009F3055"/>
    <w:rsid w:val="00A1124E"/>
    <w:rsid w:val="00A145D0"/>
    <w:rsid w:val="00A20B34"/>
    <w:rsid w:val="00A965B1"/>
    <w:rsid w:val="00AC2E6D"/>
    <w:rsid w:val="00B07E85"/>
    <w:rsid w:val="00B109C2"/>
    <w:rsid w:val="00B21922"/>
    <w:rsid w:val="00B460FA"/>
    <w:rsid w:val="00B5368F"/>
    <w:rsid w:val="00B723F0"/>
    <w:rsid w:val="00B84251"/>
    <w:rsid w:val="00C0686C"/>
    <w:rsid w:val="00C174DD"/>
    <w:rsid w:val="00CD2104"/>
    <w:rsid w:val="00CF3859"/>
    <w:rsid w:val="00D41196"/>
    <w:rsid w:val="00E22489"/>
    <w:rsid w:val="00E56D72"/>
    <w:rsid w:val="00EC47D8"/>
    <w:rsid w:val="00EF69C5"/>
    <w:rsid w:val="00F0487A"/>
    <w:rsid w:val="00F47349"/>
    <w:rsid w:val="00F71C95"/>
    <w:rsid w:val="00FA36A4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224"/>
    <w:rPr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D6581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customStyle="1" w:styleId="21">
    <w:name w:val="Заголовок 21"/>
    <w:basedOn w:val="a"/>
    <w:qFormat/>
    <w:rsid w:val="00680330"/>
    <w:pPr>
      <w:keepNext/>
      <w:spacing w:after="120" w:line="240" w:lineRule="exact"/>
      <w:jc w:val="both"/>
      <w:outlineLvl w:val="1"/>
    </w:pPr>
    <w:rPr>
      <w:sz w:val="22"/>
    </w:rPr>
  </w:style>
  <w:style w:type="paragraph" w:customStyle="1" w:styleId="31">
    <w:name w:val="Заголовок 31"/>
    <w:basedOn w:val="a"/>
    <w:qFormat/>
    <w:rsid w:val="00FD6581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41">
    <w:name w:val="Заголовок 41"/>
    <w:basedOn w:val="a"/>
    <w:qFormat/>
    <w:rsid w:val="00FD6581"/>
    <w:pPr>
      <w:keepNext/>
      <w:spacing w:before="240" w:after="60"/>
      <w:outlineLvl w:val="3"/>
    </w:pPr>
    <w:rPr>
      <w:b/>
      <w:sz w:val="28"/>
      <w:szCs w:val="28"/>
    </w:rPr>
  </w:style>
  <w:style w:type="character" w:styleId="a3">
    <w:name w:val="Emphasis"/>
    <w:basedOn w:val="a0"/>
    <w:qFormat/>
    <w:rsid w:val="009C44FD"/>
    <w:rPr>
      <w:i/>
      <w:iCs/>
    </w:rPr>
  </w:style>
  <w:style w:type="character" w:customStyle="1" w:styleId="ListLabel1">
    <w:name w:val="ListLabel 1"/>
    <w:qFormat/>
    <w:rsid w:val="00F67BFA"/>
    <w:rPr>
      <w:rFonts w:cs="Times New Roman"/>
    </w:rPr>
  </w:style>
  <w:style w:type="character" w:customStyle="1" w:styleId="ListLabel2">
    <w:name w:val="ListLabel 2"/>
    <w:qFormat/>
    <w:rsid w:val="00F67BFA"/>
    <w:rPr>
      <w:rFonts w:cs="Times New Roman"/>
      <w:i w:val="0"/>
    </w:rPr>
  </w:style>
  <w:style w:type="character" w:customStyle="1" w:styleId="ListLabel3">
    <w:name w:val="ListLabel 3"/>
    <w:qFormat/>
    <w:rsid w:val="00F67BFA"/>
    <w:rPr>
      <w:rFonts w:cs="Courier New"/>
    </w:rPr>
  </w:style>
  <w:style w:type="character" w:customStyle="1" w:styleId="ListLabel4">
    <w:name w:val="ListLabel 4"/>
    <w:qFormat/>
    <w:rsid w:val="00F67BFA"/>
    <w:rPr>
      <w:rFonts w:cs="Courier New"/>
    </w:rPr>
  </w:style>
  <w:style w:type="character" w:customStyle="1" w:styleId="ListLabel5">
    <w:name w:val="ListLabel 5"/>
    <w:qFormat/>
    <w:rsid w:val="00F67BFA"/>
    <w:rPr>
      <w:rFonts w:cs="Courier New"/>
    </w:rPr>
  </w:style>
  <w:style w:type="character" w:customStyle="1" w:styleId="a4">
    <w:name w:val="Верхний колонтитул Знак"/>
    <w:basedOn w:val="a0"/>
    <w:qFormat/>
    <w:rsid w:val="00E4181D"/>
    <w:rPr>
      <w:bCs/>
      <w:sz w:val="16"/>
    </w:rPr>
  </w:style>
  <w:style w:type="character" w:customStyle="1" w:styleId="a5">
    <w:name w:val="Нижний колонтитул Знак"/>
    <w:basedOn w:val="a0"/>
    <w:qFormat/>
    <w:rsid w:val="00E4181D"/>
    <w:rPr>
      <w:bCs/>
      <w:sz w:val="16"/>
    </w:rPr>
  </w:style>
  <w:style w:type="character" w:styleId="a6">
    <w:name w:val="Placeholder Text"/>
    <w:basedOn w:val="a0"/>
    <w:uiPriority w:val="99"/>
    <w:semiHidden/>
    <w:qFormat/>
    <w:rsid w:val="00334D62"/>
    <w:rPr>
      <w:color w:val="808080"/>
    </w:rPr>
  </w:style>
  <w:style w:type="character" w:customStyle="1" w:styleId="a7">
    <w:name w:val="Текст выноски Знак"/>
    <w:basedOn w:val="a0"/>
    <w:qFormat/>
    <w:rsid w:val="00334D62"/>
    <w:rPr>
      <w:rFonts w:ascii="Tahoma" w:hAnsi="Tahoma" w:cs="Tahoma"/>
      <w:bCs/>
      <w:sz w:val="16"/>
      <w:szCs w:val="16"/>
    </w:rPr>
  </w:style>
  <w:style w:type="character" w:customStyle="1" w:styleId="ListLabel6">
    <w:name w:val="ListLabel 6"/>
    <w:qFormat/>
    <w:rPr>
      <w:rFonts w:cs="OpenSymbol"/>
      <w:sz w:val="13"/>
    </w:rPr>
  </w:style>
  <w:style w:type="character" w:customStyle="1" w:styleId="ListLabel7">
    <w:name w:val="ListLabel 7"/>
    <w:qFormat/>
    <w:rPr>
      <w:b w:val="0"/>
      <w:sz w:val="22"/>
      <w:szCs w:val="22"/>
    </w:rPr>
  </w:style>
  <w:style w:type="character" w:customStyle="1" w:styleId="ListLabel8">
    <w:name w:val="ListLabel 8"/>
    <w:qFormat/>
    <w:rPr>
      <w:rFonts w:cs="Symbol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Heading">
    <w:name w:val="Heading"/>
    <w:basedOn w:val="a"/>
    <w:next w:val="a8"/>
    <w:qFormat/>
    <w:rsid w:val="00F67BF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635250"/>
    <w:pPr>
      <w:spacing w:after="120"/>
    </w:pPr>
  </w:style>
  <w:style w:type="paragraph" w:styleId="a9">
    <w:name w:val="List"/>
    <w:basedOn w:val="a8"/>
    <w:rsid w:val="00F67BFA"/>
    <w:rPr>
      <w:rFonts w:cs="FreeSans"/>
    </w:rPr>
  </w:style>
  <w:style w:type="paragraph" w:customStyle="1" w:styleId="1">
    <w:name w:val="Название объекта1"/>
    <w:basedOn w:val="a"/>
    <w:qFormat/>
    <w:rsid w:val="00F67B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F67BFA"/>
    <w:pPr>
      <w:suppressLineNumbers/>
    </w:pPr>
    <w:rPr>
      <w:rFonts w:cs="FreeSans"/>
    </w:rPr>
  </w:style>
  <w:style w:type="paragraph" w:styleId="aa">
    <w:name w:val="header"/>
    <w:basedOn w:val="a"/>
    <w:rsid w:val="00E4181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4181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D47DCF"/>
    <w:pPr>
      <w:spacing w:line="280" w:lineRule="exact"/>
    </w:pPr>
    <w:rPr>
      <w:bCs w:val="0"/>
      <w:sz w:val="24"/>
    </w:rPr>
  </w:style>
  <w:style w:type="paragraph" w:customStyle="1" w:styleId="5">
    <w:name w:val="заголовок 5"/>
    <w:basedOn w:val="a"/>
    <w:qFormat/>
    <w:rsid w:val="00D47DCF"/>
    <w:pPr>
      <w:keepNext/>
      <w:widowControl w:val="0"/>
      <w:spacing w:after="120"/>
      <w:jc w:val="center"/>
    </w:pPr>
    <w:rPr>
      <w:b/>
      <w:bCs w:val="0"/>
      <w:sz w:val="44"/>
    </w:rPr>
  </w:style>
  <w:style w:type="paragraph" w:styleId="2">
    <w:name w:val="Body Text Indent 2"/>
    <w:basedOn w:val="a"/>
    <w:qFormat/>
    <w:rsid w:val="00D47DCF"/>
    <w:pPr>
      <w:tabs>
        <w:tab w:val="left" w:leader="dot" w:pos="284"/>
      </w:tabs>
      <w:ind w:left="284"/>
      <w:jc w:val="both"/>
    </w:pPr>
    <w:rPr>
      <w:sz w:val="18"/>
    </w:rPr>
  </w:style>
  <w:style w:type="paragraph" w:customStyle="1" w:styleId="210">
    <w:name w:val="Основной текст 21"/>
    <w:basedOn w:val="a"/>
    <w:qFormat/>
    <w:rsid w:val="00680330"/>
    <w:pPr>
      <w:jc w:val="both"/>
    </w:pPr>
    <w:rPr>
      <w:bCs w:val="0"/>
      <w:sz w:val="24"/>
    </w:rPr>
  </w:style>
  <w:style w:type="paragraph" w:customStyle="1" w:styleId="THKBodytext">
    <w:name w:val="THKBodytext"/>
    <w:qFormat/>
    <w:rsid w:val="00680330"/>
    <w:pPr>
      <w:tabs>
        <w:tab w:val="left" w:pos="1336"/>
      </w:tabs>
      <w:spacing w:after="280" w:line="280" w:lineRule="atLeast"/>
    </w:pPr>
    <w:rPr>
      <w:rFonts w:ascii="Arial" w:hAnsi="Arial"/>
      <w:sz w:val="24"/>
    </w:rPr>
  </w:style>
  <w:style w:type="paragraph" w:styleId="ae">
    <w:name w:val="List Paragraph"/>
    <w:basedOn w:val="a"/>
    <w:uiPriority w:val="34"/>
    <w:qFormat/>
    <w:rsid w:val="00E55DCB"/>
    <w:pPr>
      <w:ind w:left="720"/>
      <w:contextualSpacing/>
    </w:pPr>
  </w:style>
  <w:style w:type="paragraph" w:styleId="af">
    <w:name w:val="Balloon Text"/>
    <w:basedOn w:val="a"/>
    <w:qFormat/>
    <w:rsid w:val="00334D62"/>
    <w:rPr>
      <w:rFonts w:ascii="Tahoma" w:hAnsi="Tahoma" w:cs="Tahoma"/>
      <w:szCs w:val="16"/>
    </w:rPr>
  </w:style>
  <w:style w:type="table" w:styleId="af0">
    <w:name w:val="Table Grid"/>
    <w:basedOn w:val="a1"/>
    <w:rsid w:val="00414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 с отступом Знак"/>
    <w:basedOn w:val="a0"/>
    <w:link w:val="ac"/>
    <w:rsid w:val="00B2192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0E2C91D442C947B26F18CEFE0C7E5C" ma:contentTypeVersion="0" ma:contentTypeDescription="Создание документа." ma:contentTypeScope="" ma:versionID="2c71f1a5a642577deb7be9486125aa5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4298-587D-4977-A25E-DE19F1F96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86128-EE71-4BF9-B49A-2880B0A758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0713A3-7035-46ED-BD6A-18605869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5BBBA8-BEE6-4B56-96D8-F810915E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№ 1</vt:lpstr>
    </vt:vector>
  </TitlesOfParts>
  <Company>TNK-BP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 1</dc:title>
  <dc:subject/>
  <dc:creator>IENevretdinova</dc:creator>
  <dc:description/>
  <cp:lastModifiedBy>bastrykin</cp:lastModifiedBy>
  <cp:revision>186</cp:revision>
  <cp:lastPrinted>2019-06-07T02:57:00Z</cp:lastPrinted>
  <dcterms:created xsi:type="dcterms:W3CDTF">2013-04-01T03:30:00Z</dcterms:created>
  <dcterms:modified xsi:type="dcterms:W3CDTF">2019-06-07T10:55:00Z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TNK-BP</vt:lpwstr>
  </property>
  <property fmtid="{D5CDD505-2E9C-101B-9397-08002B2CF9AE}" pid="4" name="ContentTypeId">
    <vt:lpwstr>0x010100810E2C91D442C947B26F18CEFE0C7E5C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">
    <vt:lpwstr>Документ</vt:lpwstr>
  </property>
</Properties>
</file>